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Cookie Inventory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Cookie Policy (`COOKIE_POLICY.md`)</w:t>
      </w:r>
    </w:p>
    <w:p>
      <w:pPr>
        <w:pStyle w:val="ListParagraph"/>
        <w:numPr>
          <w:ilvl w:val="0"/>
          <w:numId w:val="1"/>
        </w:numPr>
      </w:pPr>
      <w:r>
        <w:t xml:space="preserve">Consent Management Guide (`CONSENT_MANAGEMENT_GUIDE.md`)</w:t>
      </w:r>
    </w:p>
    <w:p>
      <w:pPr>
        <w:pBdr>
          <w:bottom w:val="single" w:sz="6" w:space="1" w:color="999999"/>
        </w:pBdr>
      </w:pPr>
    </w:p>
    <w:p>
      <w:r>
        <w:t xml:space="preserve">This document provides a complete inventory of all cookies and similar tracking technologies used by this application. This inventory is required by the ePrivacy Directive (Directive 2002/58/EC, as amended by Directive 2009/136/EC) and supports GDPR transparency requirements.</w:t>
      </w:r>
    </w:p>
    <w:p>
      <w:pPr>
        <w:pStyle w:val="Heading2"/>
      </w:pPr>
      <w:r>
        <w:t>Summary</w:t>
      </w:r>
    </w:p>
    <w:p>
      <w:r>
        <w:rPr>
          <w:sz w:val="20"/>
        </w:rPr>
        <w:t xml:space="preserve">Category  |  Count  |  Consent Required</w:t>
      </w:r>
    </w:p>
    <w:p>
      <w:r>
        <w:rPr>
          <w:sz w:val="20"/>
        </w:rPr>
        <w:t xml:space="preserve">Strictly Necessary  |  5  |  No (exempt under ePrivacy Directive Art. 5(3))</w:t>
      </w:r>
    </w:p>
    <w:p>
      <w:r>
        <w:rPr>
          <w:sz w:val="20"/>
        </w:rPr>
        <w:t xml:space="preserve">Analytics  |  2  |  Yes</w:t>
      </w:r>
    </w:p>
    <w:p>
      <w:r>
        <w:rPr>
          <w:sz w:val="20"/>
        </w:rPr>
        <w:t xml:space="preserve">**Total**  |  **7**</w:t>
      </w:r>
    </w:p>
    <w:p>
      <w:pPr>
        <w:pStyle w:val="Heading2"/>
      </w:pPr>
      <w:r>
        <w:t>Strictly Necessary Cookies</w:t>
      </w:r>
    </w:p>
    <w:p>
      <w:r>
        <w:t xml:space="preserve">These cookies are essential for the application to function and cannot be disabled. They do not require user consent under Article 5(3) of the ePrivacy Directive.</w:t>
      </w:r>
    </w:p>
    <w:p>
      <w:r>
        <w:rPr>
          <w:sz w:val="20"/>
        </w:rPr>
        <w:t xml:space="preserve">Cookie Name  |  Purpose  |  Duration  |  Provider</w:t>
      </w:r>
    </w:p>
    <w:p>
      <w:r>
        <w:rPr>
          <w:sz w:val="20"/>
        </w:rPr>
        <w:t xml:space="preserve">`session_id / connect.sid`  |  Maintains authenticated user session on the server  |  Session or configured expiry  |  First-party</w:t>
      </w:r>
    </w:p>
    <w:p>
      <w:r>
        <w:rPr>
          <w:sz w:val="20"/>
        </w:rPr>
        <w:t xml:space="preserve">`auth_token / jwt`  |  Stores authentication token for API authorization  |  Varies (typically 1 hour to 30 days)  |  First-party</w:t>
      </w:r>
    </w:p>
    <w:p>
      <w:r>
        <w:rPr>
          <w:sz w:val="20"/>
        </w:rPr>
        <w:t xml:space="preserve">`csrf_token / XSRF-TOKEN`  |  Prevents cross-site request forgery attacks  |  Session  |  First-party</w:t>
      </w:r>
    </w:p>
    <w:p>
      <w:r>
        <w:rPr>
          <w:sz w:val="20"/>
        </w:rPr>
        <w:t xml:space="preserve">`refresh_token`  |  Enables silent re-authentication when access token expires  |  30-90 days (varies)  |  First-party</w:t>
      </w:r>
    </w:p>
    <w:p>
      <w:r>
        <w:rPr>
          <w:sz w:val="20"/>
        </w:rPr>
        <w:t xml:space="preserve">`sb-*-auth-token`  |  Stores Supabase authentication session token  |  1 hour (refreshed)  |  Supabase Inc</w:t>
      </w:r>
    </w:p>
    <w:p>
      <w:pPr>
        <w:pStyle w:val="Heading2"/>
      </w:pPr>
      <w:r>
        <w:t>Analytics Cookies</w:t>
      </w:r>
    </w:p>
    <w:p>
      <w:r>
        <w:t xml:space="preserve">These cookies collect information about how visitors use the application. They require explicit user consent before being set.</w:t>
      </w:r>
    </w:p>
    <w:p>
      <w:r>
        <w:rPr>
          <w:sz w:val="20"/>
        </w:rPr>
        <w:t xml:space="preserve">Cookie Name  |  Purpose  |  Duration  |  Provider  |  Service</w:t>
      </w:r>
    </w:p>
    <w:p>
      <w:r>
        <w:rPr>
          <w:sz w:val="20"/>
        </w:rPr>
        <w:t xml:space="preserve">`ph_*`  |  Identifies unique users for product analytics and session recording  |  1 year  |  PostHog Inc  |  posthog</w:t>
      </w:r>
    </w:p>
    <w:p>
      <w:r>
        <w:rPr>
          <w:sz w:val="20"/>
        </w:rPr>
        <w:t xml:space="preserve">`distinct_id`  |  Identifies users across sessions for analytics continuity  |  1 year  |  PostHog Inc  |  posthog</w:t>
      </w:r>
    </w:p>
    <w:p>
      <w:pPr>
        <w:pStyle w:val="Heading2"/>
      </w:pPr>
      <w:r>
        <w:t>Detected Services</w:t>
      </w:r>
    </w:p>
    <w:p>
      <w:r>
        <w:t xml:space="preserve">The following services were detected in the codebase that set or use cookies:</w:t>
      </w:r>
    </w:p>
    <w:p>
      <w:pPr>
        <w:pStyle w:val="Heading3"/>
      </w:pPr>
      <w:r>
        <w:t>Authentication Services</w:t>
      </w:r>
    </w:p>
    <w:p>
      <w:pPr>
        <w:pStyle w:val="ListParagraph"/>
        <w:numPr>
          <w:ilvl w:val="0"/>
          <w:numId w:val="1"/>
        </w:numPr>
      </w:pPr>
      <w:r>
        <w:t xml:space="preserve">**@supabase/supabase-js** — detected in `package.json`, `.env.example`</w:t>
      </w:r>
    </w:p>
    <w:p>
      <w:pPr>
        <w:pStyle w:val="Heading3"/>
      </w:pPr>
      <w:r>
        <w:t>Analytics &amp; Advertising Services</w:t>
      </w:r>
    </w:p>
    <w:p>
      <w:pPr>
        <w:pStyle w:val="ListParagraph"/>
        <w:numPr>
          <w:ilvl w:val="0"/>
          <w:numId w:val="1"/>
        </w:numPr>
      </w:pPr>
      <w:r>
        <w:t xml:space="preserve">**posthog** — detected in `.env.example`</w:t>
      </w:r>
    </w:p>
    <w:p>
      <w:pPr>
        <w:pStyle w:val="Heading2"/>
      </w:pPr>
      <w:r>
        <w:t>Legal Requirements</w:t>
      </w:r>
    </w:p>
    <w:p>
      <w:pPr>
        <w:pStyle w:val="Heading3"/>
      </w:pPr>
      <w:r>
        <w:t>ePrivacy Directive (EU)</w:t>
      </w:r>
    </w:p>
    <w:p>
      <w:r>
        <w:t xml:space="preserve">Under Article 5(3) of the ePrivacy Directive:</w:t>
      </w:r>
    </w:p>
    <w:p>
      <w:pPr>
        <w:pStyle w:val="ListParagraph"/>
        <w:numPr>
          <w:ilvl w:val="0"/>
          <w:numId w:val="1"/>
        </w:numPr>
      </w:pPr>
      <w:r>
        <w:t xml:space="preserve">**Strictly necessary cookies** may be set without consent (e.g., session cookies, CSRF tokens)</w:t>
      </w:r>
    </w:p>
    <w:p>
      <w:pPr>
        <w:pStyle w:val="ListParagraph"/>
        <w:numPr>
          <w:ilvl w:val="0"/>
          <w:numId w:val="1"/>
        </w:numPr>
      </w:pPr>
      <w:r>
        <w:t xml:space="preserve">**All other cookies** require informed, specific, and freely given consent before being set</w:t>
      </w:r>
    </w:p>
    <w:p>
      <w:pPr>
        <w:pStyle w:val="ListParagraph"/>
        <w:numPr>
          <w:ilvl w:val="0"/>
          <w:numId w:val="1"/>
        </w:numPr>
      </w:pPr>
      <w:r>
        <w:t xml:space="preserve">Users must be able to **withdraw consent** as easily as they gave it</w:t>
      </w:r>
    </w:p>
    <w:p>
      <w:pPr>
        <w:pStyle w:val="ListParagraph"/>
        <w:numPr>
          <w:ilvl w:val="0"/>
          <w:numId w:val="1"/>
        </w:numPr>
      </w:pPr>
      <w:r>
        <w:t xml:space="preserve">Consent must be obtained **before** cookies are placed (no implied consent)</w:t>
      </w:r>
    </w:p>
    <w:p>
      <w:pPr>
        <w:pStyle w:val="Heading3"/>
      </w:pPr>
      <w:r>
        <w:t>GDPR (EU)</w:t>
      </w:r>
    </w:p>
    <w:p>
      <w:pPr>
        <w:pStyle w:val="ListParagraph"/>
        <w:numPr>
          <w:ilvl w:val="0"/>
          <w:numId w:val="1"/>
        </w:numPr>
      </w:pPr>
      <w:r>
        <w:t xml:space="preserve">Cookie consent constitutes processing of personal data under GDPR Article 6(1)(a)</w:t>
      </w:r>
    </w:p>
    <w:p>
      <w:pPr>
        <w:pStyle w:val="ListParagraph"/>
        <w:numPr>
          <w:ilvl w:val="0"/>
          <w:numId w:val="1"/>
        </w:numPr>
      </w:pPr>
      <w:r>
        <w:t xml:space="preserve">Users have the right to know what cookies are used (this inventory)</w:t>
      </w:r>
    </w:p>
    <w:p>
      <w:pPr>
        <w:pStyle w:val="ListParagraph"/>
        <w:numPr>
          <w:ilvl w:val="0"/>
          <w:numId w:val="1"/>
        </w:numPr>
      </w:pPr>
      <w:r>
        <w:t xml:space="preserve">Data collected via cookies is subject to all GDPR rights (access, erasure, portability)</w:t>
      </w:r>
    </w:p>
    <w:p>
      <w:pPr>
        <w:pStyle w:val="Heading3"/>
      </w:pPr>
      <w:r>
        <w:t>CCPA/CPRA (California)</w:t>
      </w:r>
    </w:p>
    <w:p>
      <w:pPr>
        <w:pStyle w:val="ListParagraph"/>
        <w:numPr>
          <w:ilvl w:val="0"/>
          <w:numId w:val="1"/>
        </w:numPr>
      </w:pPr>
      <w:r>
        <w:t xml:space="preserve">Users must be informed about categories of personal information collected via cookies</w:t>
      </w:r>
    </w:p>
    <w:p>
      <w:pPr>
        <w:pStyle w:val="ListParagraph"/>
        <w:numPr>
          <w:ilvl w:val="0"/>
          <w:numId w:val="1"/>
        </w:numPr>
      </w:pPr>
      <w:r>
        <w:t xml:space="preserve">"Do Not Sell or Share My Personal Information" link must be provided if advertising cookies are used</w:t>
      </w:r>
    </w:p>
    <w:p>
      <w:pPr>
        <w:pStyle w:val="ListParagraph"/>
        <w:numPr>
          <w:ilvl w:val="0"/>
          <w:numId w:val="1"/>
        </w:numPr>
      </w:pPr>
      <w:r>
        <w:t xml:space="preserve">Global Privacy Control (GPC) signals must be honored</w:t>
      </w:r>
    </w:p>
    <w:p>
      <w:pPr>
        <w:pStyle w:val="Heading2"/>
      </w:pPr>
      <w:r>
        <w:t>Inventory Maintenance</w:t>
      </w:r>
    </w:p>
    <w:p>
      <w:r>
        <w:t xml:space="preserve">This cookie inventory should be reviewed and updated:</w:t>
      </w:r>
    </w:p>
    <w:p>
      <w:pPr>
        <w:pStyle w:val="ListParagraph"/>
        <w:numPr>
          <w:ilvl w:val="0"/>
          <w:numId w:val="1"/>
        </w:numPr>
      </w:pPr>
      <w:r>
        <w:t xml:space="preserve">[ ] When adding or removing third-party services</w:t>
      </w:r>
    </w:p>
    <w:p>
      <w:pPr>
        <w:pStyle w:val="ListParagraph"/>
        <w:numPr>
          <w:ilvl w:val="0"/>
          <w:numId w:val="1"/>
        </w:numPr>
      </w:pPr>
      <w:r>
        <w:t xml:space="preserve">[ ] When changing authentication providers</w:t>
      </w:r>
    </w:p>
    <w:p>
      <w:pPr>
        <w:pStyle w:val="ListParagraph"/>
        <w:numPr>
          <w:ilvl w:val="0"/>
          <w:numId w:val="1"/>
        </w:numPr>
      </w:pPr>
      <w:r>
        <w:t xml:space="preserve">[ ] When adding new tracking or analytics tools</w:t>
      </w:r>
    </w:p>
    <w:p>
      <w:pPr>
        <w:pStyle w:val="ListParagraph"/>
        <w:numPr>
          <w:ilvl w:val="0"/>
          <w:numId w:val="1"/>
        </w:numPr>
      </w:pPr>
      <w:r>
        <w:t xml:space="preserve">[ ] At minimum quarterly, or after any significant application change</w:t>
      </w:r>
    </w:p>
    <w:p>
      <w:pPr>
        <w:pStyle w:val="ListParagraph"/>
        <w:numPr>
          <w:ilvl w:val="0"/>
          <w:numId w:val="1"/>
        </w:numPr>
      </w:pPr>
      <w:r>
        <w:t xml:space="preserve">[ ] After any audit finding related to cookies or tracking</w:t>
      </w:r>
    </w:p>
    <w:p>
      <w:r>
        <w:t xml:space="preserve">For questions about this cookie inventory, contact legal@acme.com.</w:t>
      </w:r>
    </w:p>
    <w:p>
      <w:pPr>
        <w:pBdr>
          <w:bottom w:val="single" w:sz="6" w:space="1" w:color="999999"/>
        </w:pBdr>
      </w:pPr>
    </w:p>
    <w:p>
      <w:r>
        <w:t xml:space="preserve">This cookie inventory was generated by [Codepliant](https://github.com/joechensmartz/codepliant) based on an automated scan of the nextjs-saas-example codebase. It should be reviewed by your legal team to ensure completeness and accuracy. Additional cookies may be set by third-party scripts loaded at runtime that are not detectable through static code analysis.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